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1"/>
        <w:ind w:left="0"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1 к Техническим требованиям</w:t>
      </w:r>
      <w:r>
        <w:rPr>
          <w:sz w:val="22"/>
          <w:szCs w:val="22"/>
        </w:rPr>
      </w:r>
    </w:p>
    <w:p>
      <w:pPr>
        <w:pStyle w:val="621"/>
        <w:jc w:val="center"/>
        <w:spacing w:before="0" w:after="120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621"/>
        <w:jc w:val="center"/>
        <w:spacing w:before="0" w:after="120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621"/>
        <w:jc w:val="center"/>
        <w:spacing w:before="0" w:after="120"/>
        <w:rPr>
          <w:b/>
          <w:color w:val="000000"/>
        </w:rPr>
      </w:pPr>
      <w:r>
        <w:rPr>
          <w:b/>
          <w:color w:val="000000"/>
        </w:rPr>
        <w:t xml:space="preserve">ТЕХНИЧЕСКОЕ ЗАДАНИЕ </w:t>
      </w:r>
      <w:r>
        <w:rPr>
          <w:b/>
          <w:color w:val="000000"/>
        </w:rPr>
      </w:r>
    </w:p>
    <w:p>
      <w:pPr>
        <w:pStyle w:val="621"/>
        <w:jc w:val="center"/>
        <w:rPr>
          <w:color w:val="000000"/>
        </w:rPr>
      </w:pPr>
      <w:r>
        <w:rPr>
          <w:rFonts w:eastAsia="Times New Roman" w:cs="Times New Roman"/>
          <w:b w:val="0"/>
          <w:bCs/>
          <w:i w:val="0"/>
          <w:iCs w:val="0"/>
          <w:caps w:val="0"/>
          <w:smallCaps w:val="0"/>
          <w:color w:val="000000"/>
          <w:spacing w:val="0"/>
          <w:sz w:val="28"/>
          <w:szCs w:val="28"/>
          <w:highlight w:val="white"/>
          <w:lang w:val="ru-RU" w:eastAsia="en-US" w:bidi="ar-SA"/>
        </w:rPr>
        <w:t xml:space="preserve">оказание услуг по проведению комплексного технического обследования здания</w:t>
      </w:r>
      <w:r>
        <w:rPr>
          <w:rFonts w:eastAsia="Times New Roman" w:cs="Times New Roman"/>
          <w:b w:val="0"/>
          <w:bCs/>
          <w:i/>
          <w:iCs w:val="0"/>
          <w:caps w:val="0"/>
          <w:smallCaps w:val="0"/>
          <w:color w:val="000000"/>
          <w:spacing w:val="0"/>
          <w:sz w:val="28"/>
          <w:szCs w:val="28"/>
          <w:highlight w:val="white"/>
          <w:lang w:val="ru-RU" w:eastAsia="en-US" w:bidi="ar-SA"/>
        </w:rPr>
        <w:t xml:space="preserve"> </w:t>
      </w:r>
      <w:r>
        <w:rPr>
          <w:rFonts w:eastAsia="Times New Roman" w:cs="Times New Roman"/>
          <w:b w:val="0"/>
          <w:bCs/>
          <w:i w:val="0"/>
          <w:iCs w:val="0"/>
          <w:caps w:val="0"/>
          <w:smallCaps w:val="0"/>
          <w:color w:val="000000"/>
          <w:spacing w:val="0"/>
          <w:sz w:val="28"/>
          <w:szCs w:val="28"/>
          <w:highlight w:val="white"/>
          <w:lang w:val="ru-RU" w:eastAsia="en-US" w:bidi="ar-SA"/>
        </w:rPr>
        <w:t xml:space="preserve">Административного корпуса СУ ТЭЦ г. Благовещенск для Амурских тепловых</w:t>
      </w:r>
      <w:r>
        <w:rPr>
          <w:rFonts w:eastAsia="Times New Roman" w:cs="Times New Roman"/>
          <w:b w:val="0"/>
          <w:bCs/>
          <w:i/>
          <w:iCs w:val="0"/>
          <w:caps w:val="0"/>
          <w:smallCaps w:val="0"/>
          <w:color w:val="000000"/>
          <w:spacing w:val="0"/>
          <w:sz w:val="28"/>
          <w:szCs w:val="28"/>
          <w:highlight w:val="white"/>
          <w:lang w:val="ru-RU" w:eastAsia="en-US" w:bidi="ar-SA"/>
        </w:rPr>
        <w:t xml:space="preserve"> </w:t>
      </w:r>
      <w:r>
        <w:rPr>
          <w:rFonts w:eastAsia="Times New Roman" w:cs="Times New Roman"/>
          <w:b w:val="0"/>
          <w:bCs/>
          <w:i w:val="0"/>
          <w:iCs w:val="0"/>
          <w:caps w:val="0"/>
          <w:smallCaps w:val="0"/>
          <w:color w:val="000000"/>
          <w:spacing w:val="0"/>
          <w:sz w:val="28"/>
          <w:szCs w:val="28"/>
          <w:highlight w:val="white"/>
          <w:lang w:val="ru-RU" w:eastAsia="en-US" w:bidi="ar-SA"/>
        </w:rPr>
        <w:t xml:space="preserve">сетей</w:t>
      </w:r>
      <w:r>
        <w:rPr>
          <w:color w:val="000000"/>
        </w:rPr>
      </w:r>
    </w:p>
    <w:p>
      <w:pPr>
        <w:pStyle w:val="621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621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W w:w="9923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3684"/>
        <w:gridCol w:w="6238"/>
      </w:tblGrid>
      <w:tr>
        <w:tblPrEx/>
        <w:trPr>
          <w:trHeight w:val="31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2" w:type="dxa"/>
            <w:vAlign w:val="center"/>
            <w:textDirection w:val="lrTb"/>
            <w:noWrap w:val="false"/>
          </w:tcPr>
          <w:p>
            <w:pPr>
              <w:pStyle w:val="621"/>
              <w:numPr>
                <w:ilvl w:val="0"/>
                <w:numId w:val="1"/>
              </w:numPr>
              <w:jc w:val="center"/>
              <w:spacing w:before="120" w:after="120"/>
              <w:widowControl w:val="off"/>
              <w:rPr>
                <w:b/>
              </w:rPr>
            </w:pPr>
            <w:r>
              <w:rPr>
                <w:b/>
              </w:rPr>
              <w:t xml:space="preserve">Общие данные</w:t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textDirection w:val="lrTb"/>
            <w:noWrap w:val="false"/>
          </w:tcPr>
          <w:p>
            <w:pPr>
              <w:pStyle w:val="621"/>
              <w:spacing w:before="120" w:after="1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Район, пункт, строительства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8" w:type="dxa"/>
            <w:textDirection w:val="lrTb"/>
            <w:noWrap w:val="false"/>
          </w:tcPr>
          <w:p>
            <w:pPr>
              <w:pStyle w:val="621"/>
              <w:jc w:val="both"/>
              <w:spacing w:before="120" w:after="120"/>
              <w:widowControl w:val="off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Благовещенск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textDirection w:val="lrTb"/>
            <w:noWrap w:val="false"/>
          </w:tcPr>
          <w:p>
            <w:pPr>
              <w:pStyle w:val="621"/>
              <w:spacing w:before="120" w:after="1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Заказчик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8" w:type="dxa"/>
            <w:textDirection w:val="lrTb"/>
            <w:noWrap w:val="false"/>
          </w:tcPr>
          <w:p>
            <w:pPr>
              <w:pStyle w:val="621"/>
              <w:jc w:val="both"/>
              <w:spacing w:before="120" w:after="1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«ДГК» Структурное подразделение «Амурские тепловые 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textDirection w:val="lrTb"/>
            <w:noWrap w:val="false"/>
          </w:tcPr>
          <w:p>
            <w:pPr>
              <w:pStyle w:val="621"/>
              <w:spacing w:before="120" w:after="1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Вид обследования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8" w:type="dxa"/>
            <w:textDirection w:val="lrTb"/>
            <w:noWrap w:val="false"/>
          </w:tcPr>
          <w:p>
            <w:pPr>
              <w:pStyle w:val="621"/>
              <w:jc w:val="both"/>
              <w:spacing w:before="120" w:after="1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обследование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textDirection w:val="lrTb"/>
            <w:noWrap w:val="false"/>
          </w:tcPr>
          <w:p>
            <w:pPr>
              <w:pStyle w:val="621"/>
              <w:spacing w:before="120" w:after="1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 Характеристики земельного участка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8" w:type="dxa"/>
            <w:textDirection w:val="lrTb"/>
            <w:noWrap w:val="false"/>
          </w:tcPr>
          <w:p>
            <w:pPr>
              <w:pStyle w:val="621"/>
              <w:jc w:val="both"/>
              <w:spacing w:before="120" w:after="120" w:line="180" w:lineRule="atLeas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находятся в аренде АО «ДГК»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textDirection w:val="lrTb"/>
            <w:noWrap w:val="false"/>
          </w:tcPr>
          <w:p>
            <w:pPr>
              <w:pStyle w:val="621"/>
              <w:spacing w:before="120" w:after="1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 Сроки обследования и оплата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8" w:type="dxa"/>
            <w:textDirection w:val="lrTb"/>
            <w:noWrap w:val="false"/>
          </w:tcPr>
          <w:p>
            <w:pPr>
              <w:pStyle w:val="693"/>
              <w:jc w:val="both"/>
              <w:spacing w:before="120" w:after="120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Определяется договором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9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textDirection w:val="lrTb"/>
            <w:noWrap w:val="false"/>
          </w:tcPr>
          <w:p>
            <w:pPr>
              <w:pStyle w:val="621"/>
              <w:spacing w:before="120" w:after="1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1.6. Краткая характеристика и назначение объекта</w:t>
            </w:r>
            <w:r>
              <w:rPr>
                <w:sz w:val="24"/>
                <w:szCs w:val="24"/>
              </w:rPr>
            </w:r>
          </w:p>
          <w:p>
            <w:pPr>
              <w:pStyle w:val="621"/>
              <w:spacing w:before="120" w:after="1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21"/>
              <w:spacing w:before="120" w:after="1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8" w:type="dxa"/>
            <w:textDirection w:val="lrTb"/>
            <w:noWrap w:val="false"/>
          </w:tcPr>
          <w:p>
            <w:pPr>
              <w:pStyle w:val="621"/>
              <w:jc w:val="both"/>
              <w:spacing w:line="276" w:lineRule="auto"/>
              <w:widowControl w:val="off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Двухэтажное административное здание с доступом в подвал. Размер здания 43,66 х 15,77 м. Год ввода в эксплуатацию - 1976. Материал стен - кирпич. Кровля – двухскатная из металлического профилированного листа.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Стены здания обшиты облицовочными плитами (вентилируемый фасад). Существующие внутренние инженерные коммуникации здания: отопление, холодное водоснабжение и канализация, электроснабжение, телефония, интернет. Лифты и подъемники в здании не предусмотрены. </w:t>
            </w:r>
            <w:r>
              <w:rPr>
                <w:sz w:val="24"/>
                <w:szCs w:val="24"/>
              </w:rPr>
              <w:t xml:space="preserve">Предназначено для размещения рабочих мест сотрудников и руководящего состава.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15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textDirection w:val="lrTb"/>
            <w:noWrap w:val="false"/>
          </w:tcPr>
          <w:p>
            <w:pPr>
              <w:pStyle w:val="621"/>
              <w:spacing w:before="120" w:after="120"/>
              <w:widowControl w:val="off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1.7. Основные технико-экономические показатели объекта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8" w:type="dxa"/>
            <w:textDirection w:val="lrTb"/>
            <w:noWrap w:val="false"/>
          </w:tcPr>
          <w:p>
            <w:pPr>
              <w:pStyle w:val="621"/>
              <w:jc w:val="both"/>
              <w:spacing w:before="120" w:after="0"/>
              <w:widowControl w:val="off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1. Площадь застройки – 688,52 кв.м.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  <w:p>
            <w:pPr>
              <w:pStyle w:val="621"/>
              <w:jc w:val="both"/>
              <w:widowControl w:val="off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2. Общая площадь помещений – 1 027,7 кв.м.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  <w:p>
            <w:pPr>
              <w:pStyle w:val="621"/>
              <w:jc w:val="both"/>
              <w:widowControl w:val="off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3. Общее количество кабинетов в здании – 68.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  <w:p>
            <w:pPr>
              <w:pStyle w:val="621"/>
              <w:jc w:val="both"/>
              <w:spacing w:before="0" w:after="60"/>
              <w:widowControl w:val="off"/>
              <w:rPr>
                <w:rFonts w:eastAsia="Calibri"/>
                <w:sz w:val="24"/>
                <w:szCs w:val="24"/>
                <w:highlight w:val="none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4. Высота помещений – 2,6 м.</w:t>
            </w: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</w:r>
          </w:p>
        </w:tc>
      </w:tr>
      <w:tr>
        <w:tblPrEx/>
        <w:trPr>
          <w:trHeight w:val="7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textDirection w:val="lrTb"/>
            <w:noWrap w:val="false"/>
          </w:tcPr>
          <w:p>
            <w:pPr>
              <w:pStyle w:val="621"/>
              <w:spacing w:before="120" w:after="120"/>
              <w:widowControl w:val="off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1.8. Цель обследования</w:t>
            </w:r>
            <w:r>
              <w:rPr>
                <w:rFonts w:eastAsia="Arial Unicode M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8" w:type="dxa"/>
            <w:textDirection w:val="lrTb"/>
            <w:noWrap w:val="false"/>
          </w:tcPr>
          <w:p>
            <w:pPr>
              <w:pStyle w:val="621"/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Возможность</w:t>
            </w:r>
            <w:r>
              <w:rPr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 </w:t>
            </w:r>
            <w:r>
              <w:rPr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изменения</w:t>
            </w:r>
            <w:r>
              <w:rPr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 </w:t>
            </w:r>
            <w:r>
              <w:rPr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параметров</w:t>
            </w:r>
            <w:r>
              <w:rPr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 </w:t>
            </w:r>
            <w:r>
              <w:rPr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объекта</w:t>
            </w:r>
            <w:r>
              <w:rPr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 </w:t>
            </w:r>
            <w:r>
              <w:rPr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капитального</w:t>
            </w:r>
            <w:r>
              <w:rPr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 </w:t>
            </w:r>
            <w:r>
              <w:rPr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строительства</w:t>
            </w:r>
            <w:r>
              <w:rPr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 </w:t>
            </w:r>
            <w:r>
              <w:rPr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(по</w:t>
            </w:r>
            <w:r>
              <w:rPr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 </w:t>
            </w:r>
            <w:r>
              <w:rPr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высоте</w:t>
            </w:r>
            <w:r>
              <w:rPr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 </w:t>
            </w:r>
            <w:r>
              <w:rPr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и</w:t>
            </w:r>
            <w:r>
              <w:rPr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 </w:t>
            </w:r>
            <w:r>
              <w:rPr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количеству</w:t>
            </w:r>
            <w:r>
              <w:rPr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 </w:t>
            </w:r>
            <w:r>
              <w:rPr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</w:rPr>
              <w:t xml:space="preserve">этажей)</w:t>
            </w:r>
            <w:r>
              <w:rPr>
                <w:rFonts w:ascii="Times New Roman" w:hAnsi="Times New Roman"/>
              </w:rPr>
            </w:r>
          </w:p>
          <w:p>
            <w:pPr>
              <w:pStyle w:val="621"/>
              <w:ind w:firstLine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textDirection w:val="lrTb"/>
            <w:noWrap w:val="false"/>
          </w:tcPr>
          <w:p>
            <w:pPr>
              <w:pStyle w:val="621"/>
              <w:spacing w:before="120" w:after="0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1.9. Требования к контролю качества работ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8" w:type="dxa"/>
            <w:textDirection w:val="lrTb"/>
            <w:noWrap w:val="false"/>
          </w:tcPr>
          <w:p>
            <w:pPr>
              <w:pStyle w:val="669"/>
              <w:jc w:val="both"/>
              <w:widowControl w:val="off"/>
            </w:pPr>
            <w:r>
              <w:rPr>
                <w:sz w:val="24"/>
                <w:szCs w:val="24"/>
              </w:rPr>
              <w:t xml:space="preserve">Обследование должно проводиться высококвалифицированными специалис</w:t>
            </w:r>
            <w:r>
              <w:rPr>
                <w:sz w:val="24"/>
                <w:szCs w:val="24"/>
              </w:rPr>
              <w:t xml:space="preserve">тами, прошедшими соответствующую подготовку и аттестацию. Используемые приборы и оборудование должны быть поверены, откалиброваны и сертифицированы. Все проведённые работы фиксируются документально и сопровождаются оформлением актов и протоколом испытаний.</w:t>
            </w:r>
            <w:r/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textDirection w:val="lrTb"/>
            <w:noWrap w:val="false"/>
          </w:tcPr>
          <w:p>
            <w:pPr>
              <w:pStyle w:val="621"/>
              <w:spacing w:before="120" w:after="0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1.10. Требования к выполнению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8" w:type="dxa"/>
            <w:textDirection w:val="lrTb"/>
            <w:noWrap w:val="false"/>
          </w:tcPr>
          <w:p>
            <w:pPr>
              <w:pStyle w:val="698"/>
              <w:jc w:val="both"/>
              <w:widowControl w:val="off"/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1. Услуги по Обследованию технического состояния здания, должно быть оказано в соответствии с требованиями: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Федерального закона №184-ФЗ «О техническом регулировании»;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851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Федерального закона №384-ФЗ от 30.12.2009 «Технический регламент о безопасности зданий и сооружений»;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ГОСТ Р 31937-2024 Здания и сооружения. Правила обследования и мониторинга технического состояния;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ind w:left="0" w:firstLine="709"/>
              <w:jc w:val="both"/>
              <w:shd w:val="clear" w:color="auto" w:fill="ffffff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Рекомендации по учету влияния дефектов и повреждений на эксплуатационную пригодность стальных конструкций. М., ЦНИИСТАЛЬКОНСТРУКЦИЯ, 1987 г.;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СП 13-102-2003 Правила обследования несущих строительных конструкций зданий и сооружений;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СП 16.13330-2017 Стальные конструкции;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ind w:left="0" w:firstLine="709"/>
              <w:jc w:val="both"/>
              <w:shd w:val="clear" w:color="auto" w:fill="ffffff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СП 17.13330-2017 Кровли;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СП 20.13330-2016 Нагрузки и воздействия;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СП 72.13330.2016 Защита строительных конструкций и сооружений от коррозии;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СП 28.13330.2017 Защита строительных конструкций от коррозии;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СП 63.13330-2018. Бетонные и железобетонные конструкции.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98"/>
              <w:ind w:left="0" w:firstLine="0"/>
              <w:jc w:val="both"/>
              <w:widowControl w:val="off"/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2. Провести геологические изыскания на предмет восприятия грунта на дополнительные нагрузки (в</w:t>
            </w:r>
            <w:r>
              <w:rPr>
                <w:rFonts w:eastAsia="Noto Serif CJK SC" w:cs="Arial Unicode MS"/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озможность</w:t>
            </w:r>
            <w:r>
              <w:rPr>
                <w:rFonts w:eastAsia="Noto Serif CJK SC" w:cs="Arial Unicode MS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 </w:t>
            </w:r>
            <w:r>
              <w:rPr>
                <w:rFonts w:eastAsia="Noto Serif CJK SC" w:cs="Arial Unicode MS"/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изменения</w:t>
            </w:r>
            <w:r>
              <w:rPr>
                <w:rFonts w:eastAsia="Noto Serif CJK SC" w:cs="Arial Unicode MS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 </w:t>
            </w:r>
            <w:r>
              <w:rPr>
                <w:rFonts w:eastAsia="Noto Serif CJK SC" w:cs="Arial Unicode MS"/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параметров</w:t>
            </w:r>
            <w:r>
              <w:rPr>
                <w:rFonts w:eastAsia="Noto Serif CJK SC" w:cs="Arial Unicode MS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 </w:t>
            </w:r>
            <w:r>
              <w:rPr>
                <w:rFonts w:eastAsia="Noto Serif CJK SC" w:cs="Arial Unicode MS"/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объекта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98"/>
              <w:ind w:left="0" w:firstLine="0"/>
              <w:jc w:val="both"/>
              <w:widowControl w:val="off"/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капитального</w:t>
            </w:r>
            <w:r>
              <w:rPr>
                <w:rFonts w:eastAsia="Noto Serif CJK SC" w:cs="Arial Unicode MS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 </w:t>
            </w:r>
            <w:r>
              <w:rPr>
                <w:rFonts w:eastAsia="Noto Serif CJK SC" w:cs="Arial Unicode MS"/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строительства</w:t>
            </w:r>
            <w:r>
              <w:rPr>
                <w:rFonts w:eastAsia="Noto Serif CJK SC" w:cs="Arial Unicode MS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 </w:t>
            </w:r>
            <w:r>
              <w:rPr>
                <w:rFonts w:eastAsia="Noto Serif CJK SC" w:cs="Arial Unicode MS"/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по</w:t>
            </w:r>
            <w:r>
              <w:rPr>
                <w:rFonts w:eastAsia="Noto Serif CJK SC" w:cs="Arial Unicode MS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 </w:t>
            </w:r>
            <w:r>
              <w:rPr>
                <w:rFonts w:eastAsia="Noto Serif CJK SC" w:cs="Arial Unicode MS"/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высоте</w:t>
            </w:r>
            <w:r>
              <w:rPr>
                <w:rFonts w:eastAsia="Noto Serif CJK SC" w:cs="Arial Unicode MS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 </w:t>
            </w:r>
            <w:r>
              <w:rPr>
                <w:rFonts w:eastAsia="Noto Serif CJK SC" w:cs="Arial Unicode MS"/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и</w:t>
            </w:r>
            <w:r>
              <w:rPr>
                <w:rFonts w:eastAsia="Noto Serif CJK SC" w:cs="Arial Unicode MS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 </w:t>
            </w:r>
            <w:r>
              <w:rPr>
                <w:rFonts w:eastAsia="Noto Serif CJK SC" w:cs="Arial Unicode MS"/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количеству</w:t>
            </w:r>
            <w:r>
              <w:rPr>
                <w:rFonts w:eastAsia="Noto Serif CJK SC" w:cs="Arial Unicode MS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 </w:t>
            </w:r>
            <w:r>
              <w:rPr>
                <w:rFonts w:eastAsia="Noto Serif CJK SC" w:cs="Arial Unicode MS"/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этажей)</w:t>
            </w: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.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98"/>
              <w:ind w:left="0" w:firstLine="0"/>
              <w:jc w:val="both"/>
              <w:widowControl w:val="off"/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3.Восстановление благоустройства осуществляет Заказчик (засыпка, асфальтирование, восстановление обшивки фасада);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98"/>
              <w:ind w:left="0" w:firstLine="0"/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4. </w:t>
            </w:r>
            <w:r>
              <w:rPr>
                <w:rFonts w:eastAsia="Noto Serif CJK SC" w:cs="Arial Unicode MS"/>
                <w:b w:val="0"/>
                <w:i w:val="0"/>
                <w:caps w:val="0"/>
                <w:smallCaps w:val="0"/>
                <w:color w:val="000000"/>
                <w:spacing w:val="0"/>
                <w:sz w:val="24"/>
                <w:szCs w:val="24"/>
                <w:lang w:val="ru-RU" w:eastAsia="ru-RU" w:bidi="ar-SA"/>
              </w:rPr>
              <w:t xml:space="preserve">В выводах отчёта обследования технического состояния здания, предоставить заключение о возможности изменения параметров объекта капитального строительства, проведения реконструкции с возведением одного или нескольких одного дополнительных этажей.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7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textDirection w:val="lrTb"/>
            <w:noWrap w:val="false"/>
          </w:tcPr>
          <w:p>
            <w:pPr>
              <w:pStyle w:val="621"/>
              <w:spacing w:before="120" w:after="0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1.11. Отчетность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8" w:type="dxa"/>
            <w:textDirection w:val="lrTb"/>
            <w:noWrap w:val="false"/>
          </w:tcPr>
          <w:p>
            <w:pPr>
              <w:pStyle w:val="621"/>
              <w:ind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1276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По окончании оказания услуг Исполнитель представляет 1.Заказчику Отчет Обследования технического состояния здания, содержащий: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1134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- результаты обследования;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1134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- ведомость дефектов;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99"/>
              <w:widowControl w:val="off"/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- заключения с указанием категории технического состояния обследуемого объекта.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ind w:left="0" w:right="0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1276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2.Отчеты обследования технического состояния здания  представляется на бумажном носителе (в 2-х экземплярах) и в электронном виде в форматах *.pdf, *.cdw,*.dwg, *.vsd, *.doc, *.xls, *.jpeg, *.tiff, *3D, *4D.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ind w:left="0" w:right="0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1276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3.Отчет обследования технического состояния должен быть подписан Руководителем организации - исполнителя, заверен печатью организации – исполнителя.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ind w:left="0" w:right="0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1276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4.Документы, имеющие подписи и согласования, представляются в электронной скан-копии в формате Acrobat Reader (PDF), при этом размер тома не должен превышать 50 Мб.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21"/>
              <w:ind w:left="0" w:right="0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1276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5.Размеры, форматы и содержание текстовых документов и чертежей, выполненные в электронных форматах, должны быть идентичны бумажному оригиналу, к которому они прилагаются.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textDirection w:val="lrTb"/>
            <w:noWrap w:val="false"/>
          </w:tcPr>
          <w:p>
            <w:pPr>
              <w:pStyle w:val="621"/>
              <w:spacing w:before="120" w:after="1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1.12. Контактные телефоны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8" w:type="dxa"/>
            <w:textDirection w:val="lrTb"/>
            <w:noWrap w:val="false"/>
          </w:tcPr>
          <w:p>
            <w:pPr>
              <w:pStyle w:val="621"/>
              <w:jc w:val="both"/>
              <w:spacing w:before="120" w:after="120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Начальник ОП и ПР СП «АТС» Мельников И.А.</w:t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621"/>
              <w:jc w:val="both"/>
              <w:spacing w:before="120" w:after="120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(4162) 39-83-99 доб.26-089</w:t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621"/>
              <w:jc w:val="both"/>
              <w:spacing w:before="120" w:after="120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Начальник ПТО СП «АТС» Матросов В.В.</w:t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621"/>
              <w:jc w:val="both"/>
              <w:spacing w:before="120" w:after="1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(4162) 39-83-17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21"/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621"/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621"/>
        <w:spacing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621"/>
        <w:spacing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</w:r>
    </w:p>
    <w:p>
      <w:pPr>
        <w:pStyle w:val="621"/>
        <w:jc w:val="right"/>
      </w:pPr>
      <w:r>
        <w:tab/>
      </w:r>
      <w:r/>
    </w:p>
    <w:sectPr>
      <w:footnotePr/>
      <w:endnotePr/>
      <w:type w:val="nextPage"/>
      <w:pgSz w:w="11906" w:h="16838" w:orient="portrait"/>
      <w:pgMar w:top="1135" w:right="567" w:bottom="709" w:left="1418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Noto Sans CJK SC">
    <w:panose1 w:val="020B0502040504020204"/>
  </w:font>
  <w:font w:name="Andale Sans UI">
    <w:panose1 w:val="02000603000000000000"/>
  </w:font>
  <w:font w:name="Segoe UI">
    <w:panose1 w:val="020B0503020204020204"/>
  </w:font>
  <w:font w:name="Liberation Sans">
    <w:panose1 w:val="020B0604020202020204"/>
  </w:font>
  <w:font w:name="Noto Serif CJK SC">
    <w:panose1 w:val="020B0502040504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21" w:default="1">
    <w:name w:val="Normal"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8"/>
      <w:szCs w:val="28"/>
      <w:lang w:val="ru-RU" w:eastAsia="ru-RU" w:bidi="ar-SA"/>
    </w:rPr>
  </w:style>
  <w:style w:type="paragraph" w:styleId="622">
    <w:name w:val="Heading 1"/>
    <w:basedOn w:val="621"/>
    <w:next w:val="621"/>
    <w:link w:val="63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23">
    <w:name w:val="Heading 2"/>
    <w:basedOn w:val="621"/>
    <w:next w:val="621"/>
    <w:link w:val="6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4">
    <w:name w:val="Heading 3"/>
    <w:basedOn w:val="621"/>
    <w:next w:val="621"/>
    <w:link w:val="63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5">
    <w:name w:val="Heading 4"/>
    <w:basedOn w:val="621"/>
    <w:next w:val="621"/>
    <w:link w:val="6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6">
    <w:name w:val="Heading 5"/>
    <w:basedOn w:val="621"/>
    <w:next w:val="621"/>
    <w:link w:val="6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7">
    <w:name w:val="Heading 6"/>
    <w:basedOn w:val="621"/>
    <w:next w:val="621"/>
    <w:link w:val="6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8">
    <w:name w:val="Heading 7"/>
    <w:basedOn w:val="621"/>
    <w:next w:val="621"/>
    <w:link w:val="6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29">
    <w:name w:val="Heading 8"/>
    <w:basedOn w:val="621"/>
    <w:next w:val="621"/>
    <w:link w:val="6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30">
    <w:name w:val="Heading 9"/>
    <w:basedOn w:val="621"/>
    <w:next w:val="621"/>
    <w:link w:val="6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3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32">
    <w:name w:val="Heading 2 Char"/>
    <w:uiPriority w:val="9"/>
    <w:qFormat/>
    <w:rPr>
      <w:rFonts w:ascii="Arial" w:hAnsi="Arial" w:eastAsia="Arial" w:cs="Arial"/>
      <w:sz w:val="34"/>
    </w:rPr>
  </w:style>
  <w:style w:type="character" w:styleId="633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34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5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6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7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8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9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40">
    <w:name w:val="Title Char"/>
    <w:uiPriority w:val="10"/>
    <w:qFormat/>
    <w:rPr>
      <w:sz w:val="48"/>
      <w:szCs w:val="48"/>
    </w:rPr>
  </w:style>
  <w:style w:type="character" w:styleId="641">
    <w:name w:val="Subtitle Char"/>
    <w:uiPriority w:val="11"/>
    <w:qFormat/>
    <w:rPr>
      <w:sz w:val="24"/>
      <w:szCs w:val="24"/>
    </w:rPr>
  </w:style>
  <w:style w:type="character" w:styleId="642">
    <w:name w:val="Quote Char"/>
    <w:link w:val="672"/>
    <w:uiPriority w:val="29"/>
    <w:qFormat/>
    <w:rPr>
      <w:i/>
    </w:rPr>
  </w:style>
  <w:style w:type="character" w:styleId="643">
    <w:name w:val="Intense Quote Char"/>
    <w:link w:val="673"/>
    <w:uiPriority w:val="30"/>
    <w:qFormat/>
    <w:rPr>
      <w:i/>
    </w:rPr>
  </w:style>
  <w:style w:type="character" w:styleId="644">
    <w:name w:val="Header Char"/>
    <w:uiPriority w:val="99"/>
    <w:qFormat/>
  </w:style>
  <w:style w:type="character" w:styleId="645">
    <w:name w:val="Footer Char"/>
    <w:uiPriority w:val="99"/>
    <w:qFormat/>
  </w:style>
  <w:style w:type="character" w:styleId="646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647">
    <w:name w:val="Hyperlink"/>
    <w:uiPriority w:val="99"/>
    <w:unhideWhenUsed/>
    <w:rPr>
      <w:color w:val="0000ff" w:themeColor="hyperlink"/>
      <w:u w:val="single"/>
    </w:rPr>
  </w:style>
  <w:style w:type="character" w:styleId="648">
    <w:name w:val="Footnote Text Char"/>
    <w:uiPriority w:val="99"/>
    <w:qFormat/>
    <w:rPr>
      <w:sz w:val="18"/>
    </w:rPr>
  </w:style>
  <w:style w:type="character" w:styleId="649">
    <w:name w:val="Символ сноски"/>
    <w:uiPriority w:val="99"/>
    <w:unhideWhenUsed/>
    <w:qFormat/>
    <w:rPr>
      <w:vertAlign w:val="superscript"/>
    </w:rPr>
  </w:style>
  <w:style w:type="character" w:styleId="650">
    <w:name w:val="footnote reference"/>
    <w:rPr>
      <w:vertAlign w:val="superscript"/>
    </w:rPr>
  </w:style>
  <w:style w:type="character" w:styleId="651">
    <w:name w:val="Endnote Text Char"/>
    <w:uiPriority w:val="99"/>
    <w:qFormat/>
    <w:rPr>
      <w:sz w:val="20"/>
    </w:rPr>
  </w:style>
  <w:style w:type="character" w:styleId="652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53">
    <w:name w:val="endnote reference"/>
    <w:rPr>
      <w:vertAlign w:val="superscript"/>
    </w:rPr>
  </w:style>
  <w:style w:type="character" w:styleId="654">
    <w:name w:val="Основной шрифт абзаца"/>
    <w:semiHidden/>
    <w:qFormat/>
  </w:style>
  <w:style w:type="character" w:styleId="655">
    <w:name w:val="Основной текст с отступом Знак"/>
    <w:semiHidden/>
    <w:qFormat/>
    <w:rPr>
      <w:sz w:val="24"/>
      <w:lang w:val="ru-RU" w:eastAsia="ru-RU" w:bidi="ar-SA"/>
    </w:rPr>
  </w:style>
  <w:style w:type="character" w:styleId="656">
    <w:name w:val="Верхний колонтитул Знак"/>
    <w:qFormat/>
    <w:rPr>
      <w:sz w:val="28"/>
      <w:szCs w:val="28"/>
    </w:rPr>
  </w:style>
  <w:style w:type="character" w:styleId="657">
    <w:name w:val="Emphasis"/>
    <w:qFormat/>
    <w:rPr>
      <w:i/>
      <w:iCs/>
    </w:rPr>
  </w:style>
  <w:style w:type="character" w:styleId="658">
    <w:name w:val="Текст выноски Знак"/>
    <w:link w:val="697"/>
    <w:qFormat/>
    <w:rPr>
      <w:rFonts w:ascii="Segoe UI" w:hAnsi="Segoe UI" w:cs="Segoe UI"/>
      <w:sz w:val="18"/>
      <w:szCs w:val="18"/>
    </w:rPr>
  </w:style>
  <w:style w:type="character" w:styleId="659">
    <w:name w:val="apple-converted-space"/>
    <w:qFormat/>
  </w:style>
  <w:style w:type="character" w:styleId="660">
    <w:name w:val="Гиперссылка"/>
    <w:uiPriority w:val="99"/>
    <w:unhideWhenUsed/>
    <w:qFormat/>
    <w:rPr>
      <w:color w:val="0000ff"/>
      <w:u w:val="single"/>
    </w:rPr>
  </w:style>
  <w:style w:type="character" w:styleId="661">
    <w:name w:val="Font Style19"/>
    <w:qFormat/>
    <w:rPr>
      <w:rFonts w:ascii="Times New Roman" w:hAnsi="Times New Roman" w:cs="Times New Roman"/>
      <w:b/>
      <w:bCs/>
      <w:sz w:val="20"/>
      <w:szCs w:val="20"/>
    </w:rPr>
  </w:style>
  <w:style w:type="character" w:styleId="662" w:default="1">
    <w:name w:val="Default Paragraph Font"/>
    <w:uiPriority w:val="1"/>
    <w:semiHidden/>
    <w:unhideWhenUsed/>
    <w:qFormat/>
  </w:style>
  <w:style w:type="paragraph" w:styleId="663">
    <w:name w:val="Заголовок"/>
    <w:basedOn w:val="621"/>
    <w:next w:val="664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664">
    <w:name w:val="Body Text"/>
    <w:basedOn w:val="621"/>
    <w:pPr>
      <w:spacing w:before="0" w:after="140" w:line="276" w:lineRule="auto"/>
    </w:pPr>
  </w:style>
  <w:style w:type="paragraph" w:styleId="665">
    <w:name w:val="List"/>
    <w:basedOn w:val="664"/>
    <w:rPr>
      <w:rFonts w:cs="Arial Unicode MS"/>
    </w:rPr>
  </w:style>
  <w:style w:type="paragraph" w:styleId="666">
    <w:name w:val="Caption"/>
    <w:basedOn w:val="621"/>
    <w:next w:val="621"/>
    <w:link w:val="6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67">
    <w:name w:val="Указатель"/>
    <w:basedOn w:val="621"/>
    <w:qFormat/>
    <w:pPr>
      <w:suppressLineNumbers/>
    </w:pPr>
    <w:rPr>
      <w:rFonts w:cs="Arial Unicode MS"/>
    </w:rPr>
  </w:style>
  <w:style w:type="paragraph" w:styleId="668">
    <w:name w:val="List Paragraph"/>
    <w:basedOn w:val="621"/>
    <w:uiPriority w:val="34"/>
    <w:qFormat/>
    <w:pPr>
      <w:contextualSpacing/>
      <w:ind w:left="720" w:firstLine="0"/>
      <w:spacing w:before="0" w:after="0"/>
    </w:pPr>
  </w:style>
  <w:style w:type="paragraph" w:styleId="669">
    <w:name w:val="No Spacing"/>
    <w:uiPriority w:val="1"/>
    <w:qFormat/>
    <w:pPr>
      <w:jc w:val="left"/>
      <w:spacing w:before="0" w:after="0" w:line="240" w:lineRule="auto"/>
      <w:widowControl/>
    </w:pPr>
    <w:rPr>
      <w:rFonts w:ascii="Times New Roman" w:hAnsi="Times New Roman" w:eastAsia="Noto Serif CJK SC" w:cs="Arial Unicode MS"/>
      <w:color w:val="auto"/>
      <w:sz w:val="20"/>
      <w:szCs w:val="20"/>
      <w:lang w:val="ru-RU" w:eastAsia="zh-CN" w:bidi="ar-SA"/>
    </w:rPr>
  </w:style>
  <w:style w:type="paragraph" w:styleId="670">
    <w:name w:val="Title"/>
    <w:basedOn w:val="621"/>
    <w:next w:val="621"/>
    <w:link w:val="640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71">
    <w:name w:val="Subtitle"/>
    <w:basedOn w:val="621"/>
    <w:next w:val="621"/>
    <w:link w:val="641"/>
    <w:uiPriority w:val="11"/>
    <w:qFormat/>
    <w:pPr>
      <w:spacing w:before="200" w:after="200"/>
    </w:pPr>
    <w:rPr>
      <w:sz w:val="24"/>
      <w:szCs w:val="24"/>
    </w:rPr>
  </w:style>
  <w:style w:type="paragraph" w:styleId="672">
    <w:name w:val="Quote"/>
    <w:basedOn w:val="621"/>
    <w:next w:val="621"/>
    <w:link w:val="642"/>
    <w:uiPriority w:val="29"/>
    <w:qFormat/>
    <w:pPr>
      <w:ind w:left="720" w:right="720" w:firstLine="0"/>
    </w:pPr>
    <w:rPr>
      <w:i/>
    </w:rPr>
  </w:style>
  <w:style w:type="paragraph" w:styleId="673">
    <w:name w:val="Intense Quote"/>
    <w:basedOn w:val="621"/>
    <w:next w:val="621"/>
    <w:link w:val="643"/>
    <w:uiPriority w:val="30"/>
    <w:qFormat/>
    <w:pPr>
      <w:ind w:left="720" w:right="720" w:firstLine="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74">
    <w:name w:val="Колонтитул"/>
    <w:basedOn w:val="621"/>
    <w:qFormat/>
  </w:style>
  <w:style w:type="paragraph" w:styleId="675">
    <w:name w:val="Header"/>
    <w:basedOn w:val="621"/>
    <w:link w:val="656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  <w:rPr>
      <w:lang w:val="en-US" w:eastAsia="en-US"/>
    </w:rPr>
  </w:style>
  <w:style w:type="paragraph" w:styleId="676">
    <w:name w:val="Footer"/>
    <w:basedOn w:val="621"/>
    <w:link w:val="645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677">
    <w:name w:val="footnote text"/>
    <w:basedOn w:val="621"/>
    <w:link w:val="648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78">
    <w:name w:val="endnote text"/>
    <w:basedOn w:val="621"/>
    <w:link w:val="651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79">
    <w:name w:val="toc 1"/>
    <w:basedOn w:val="621"/>
    <w:next w:val="621"/>
    <w:uiPriority w:val="39"/>
    <w:unhideWhenUsed/>
    <w:pPr>
      <w:ind w:left="0" w:right="0" w:firstLine="0"/>
      <w:spacing w:before="0" w:after="57"/>
    </w:pPr>
  </w:style>
  <w:style w:type="paragraph" w:styleId="680">
    <w:name w:val="toc 2"/>
    <w:basedOn w:val="621"/>
    <w:next w:val="621"/>
    <w:uiPriority w:val="39"/>
    <w:unhideWhenUsed/>
    <w:pPr>
      <w:ind w:left="283" w:right="0" w:firstLine="0"/>
      <w:spacing w:before="0" w:after="57"/>
    </w:pPr>
  </w:style>
  <w:style w:type="paragraph" w:styleId="681">
    <w:name w:val="toc 3"/>
    <w:basedOn w:val="621"/>
    <w:next w:val="621"/>
    <w:uiPriority w:val="39"/>
    <w:unhideWhenUsed/>
    <w:pPr>
      <w:ind w:left="567" w:right="0" w:firstLine="0"/>
      <w:spacing w:before="0" w:after="57"/>
    </w:pPr>
  </w:style>
  <w:style w:type="paragraph" w:styleId="682">
    <w:name w:val="toc 4"/>
    <w:basedOn w:val="621"/>
    <w:next w:val="621"/>
    <w:uiPriority w:val="39"/>
    <w:unhideWhenUsed/>
    <w:pPr>
      <w:ind w:left="850" w:right="0" w:firstLine="0"/>
      <w:spacing w:before="0" w:after="57"/>
    </w:pPr>
  </w:style>
  <w:style w:type="paragraph" w:styleId="683">
    <w:name w:val="toc 5"/>
    <w:basedOn w:val="621"/>
    <w:next w:val="621"/>
    <w:uiPriority w:val="39"/>
    <w:unhideWhenUsed/>
    <w:pPr>
      <w:ind w:left="1134" w:right="0" w:firstLine="0"/>
      <w:spacing w:before="0" w:after="57"/>
    </w:pPr>
  </w:style>
  <w:style w:type="paragraph" w:styleId="684">
    <w:name w:val="toc 6"/>
    <w:basedOn w:val="621"/>
    <w:next w:val="621"/>
    <w:uiPriority w:val="39"/>
    <w:unhideWhenUsed/>
    <w:pPr>
      <w:ind w:left="1417" w:right="0" w:firstLine="0"/>
      <w:spacing w:before="0" w:after="57"/>
    </w:pPr>
  </w:style>
  <w:style w:type="paragraph" w:styleId="685">
    <w:name w:val="toc 7"/>
    <w:basedOn w:val="621"/>
    <w:next w:val="621"/>
    <w:uiPriority w:val="39"/>
    <w:unhideWhenUsed/>
    <w:pPr>
      <w:ind w:left="1701" w:right="0" w:firstLine="0"/>
      <w:spacing w:before="0" w:after="57"/>
    </w:pPr>
  </w:style>
  <w:style w:type="paragraph" w:styleId="686">
    <w:name w:val="toc 8"/>
    <w:basedOn w:val="621"/>
    <w:next w:val="621"/>
    <w:uiPriority w:val="39"/>
    <w:unhideWhenUsed/>
    <w:pPr>
      <w:ind w:left="1984" w:right="0" w:firstLine="0"/>
      <w:spacing w:before="0" w:after="57"/>
    </w:pPr>
  </w:style>
  <w:style w:type="paragraph" w:styleId="687">
    <w:name w:val="toc 9"/>
    <w:basedOn w:val="621"/>
    <w:next w:val="621"/>
    <w:uiPriority w:val="39"/>
    <w:unhideWhenUsed/>
    <w:pPr>
      <w:ind w:left="2268" w:right="0" w:firstLine="0"/>
      <w:spacing w:before="0" w:after="57"/>
    </w:pPr>
  </w:style>
  <w:style w:type="paragraph" w:styleId="688">
    <w:name w:val="Index Heading"/>
    <w:basedOn w:val="663"/>
  </w:style>
  <w:style w:type="paragraph" w:styleId="689">
    <w:name w:val="TOC Heading"/>
    <w:uiPriority w:val="39"/>
    <w:unhideWhenUsed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0"/>
      <w:szCs w:val="20"/>
      <w:lang w:val="ru-RU" w:eastAsia="zh-CN" w:bidi="ar-SA"/>
    </w:rPr>
  </w:style>
  <w:style w:type="paragraph" w:styleId="690">
    <w:name w:val="table of figures"/>
    <w:basedOn w:val="621"/>
    <w:next w:val="621"/>
    <w:uiPriority w:val="99"/>
    <w:unhideWhenUsed/>
    <w:qFormat/>
    <w:pPr>
      <w:spacing w:before="0" w:after="0" w:afterAutospacing="0"/>
    </w:pPr>
  </w:style>
  <w:style w:type="paragraph" w:styleId="691">
    <w:name w:val="ConsPlusTitle"/>
    <w:qFormat/>
    <w:pPr>
      <w:jc w:val="left"/>
      <w:spacing w:before="0" w:after="0"/>
      <w:widowControl w:val="off"/>
    </w:pPr>
    <w:rPr>
      <w:rFonts w:ascii="Calibri" w:hAnsi="Calibri" w:eastAsia="Noto Serif CJK SC" w:cs="Calibri"/>
      <w:b/>
      <w:bCs/>
      <w:color w:val="auto"/>
      <w:sz w:val="22"/>
      <w:szCs w:val="22"/>
      <w:lang w:val="ru-RU" w:eastAsia="ru-RU" w:bidi="ar-SA"/>
    </w:rPr>
  </w:style>
  <w:style w:type="paragraph" w:styleId="692">
    <w:name w:val="Body Text Indent"/>
    <w:basedOn w:val="621"/>
    <w:link w:val="655"/>
    <w:semiHidden/>
    <w:unhideWhenUsed/>
    <w:pPr>
      <w:ind w:firstLine="284"/>
      <w:jc w:val="both"/>
      <w:shd w:val="clear" w:color="auto" w:fill="ffffff"/>
      <w:widowControl w:val="off"/>
    </w:pPr>
    <w:rPr>
      <w:sz w:val="24"/>
      <w:szCs w:val="20"/>
    </w:rPr>
  </w:style>
  <w:style w:type="paragraph" w:styleId="693">
    <w:name w:val="Без интервала"/>
    <w:uiPriority w:val="99"/>
    <w:qFormat/>
    <w:pPr>
      <w:jc w:val="left"/>
      <w:spacing w:before="0" w:after="0"/>
      <w:widowControl/>
    </w:pPr>
    <w:rPr>
      <w:rFonts w:ascii="Calibri" w:hAnsi="Calibri" w:eastAsia="Noto Serif CJK SC" w:cs="Arial Unicode MS"/>
      <w:color w:val="auto"/>
      <w:sz w:val="22"/>
      <w:szCs w:val="22"/>
      <w:lang w:val="ru-RU" w:eastAsia="ru-RU" w:bidi="ar-SA"/>
    </w:rPr>
  </w:style>
  <w:style w:type="paragraph" w:styleId="694">
    <w:name w:val="Содержимое таблицы"/>
    <w:basedOn w:val="621"/>
    <w:qFormat/>
    <w:pPr>
      <w:widowControl w:val="off"/>
      <w:suppressLineNumbers/>
    </w:pPr>
    <w:rPr>
      <w:rFonts w:eastAsia="Andale Sans UI"/>
      <w:sz w:val="24"/>
      <w:szCs w:val="24"/>
      <w:lang w:val="en-US" w:eastAsia="en-US"/>
    </w:rPr>
  </w:style>
  <w:style w:type="paragraph" w:styleId="695">
    <w:name w:val="Основной текст4"/>
    <w:basedOn w:val="621"/>
    <w:qFormat/>
    <w:pPr>
      <w:ind w:hanging="2120"/>
      <w:jc w:val="center"/>
      <w:spacing w:before="0" w:after="420" w:line="0" w:lineRule="atLeast"/>
      <w:shd w:val="clear" w:color="auto" w:fill="ffffff"/>
    </w:pPr>
    <w:rPr>
      <w:color w:val="000000"/>
      <w:sz w:val="25"/>
      <w:szCs w:val="25"/>
      <w:lang w:val="ru-RU"/>
    </w:rPr>
  </w:style>
  <w:style w:type="paragraph" w:styleId="696">
    <w:name w:val=" Знак"/>
    <w:basedOn w:val="621"/>
    <w:qFormat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697">
    <w:name w:val="Текст выноски"/>
    <w:basedOn w:val="621"/>
    <w:link w:val="658"/>
    <w:qFormat/>
    <w:rPr>
      <w:rFonts w:ascii="Segoe UI" w:hAnsi="Segoe UI" w:cs="Segoe UI"/>
      <w:sz w:val="18"/>
      <w:szCs w:val="18"/>
    </w:rPr>
  </w:style>
  <w:style w:type="paragraph" w:styleId="698">
    <w:name w:val="Default"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000000"/>
      <w:sz w:val="24"/>
      <w:szCs w:val="24"/>
      <w:lang w:val="ru-RU" w:eastAsia="ru-RU" w:bidi="ar-SA"/>
    </w:rPr>
  </w:style>
  <w:style w:type="paragraph" w:styleId="699">
    <w:name w:val="annotation text"/>
    <w:basedOn w:val="621"/>
    <w:qFormat/>
    <w:rPr>
      <w:sz w:val="20"/>
      <w:szCs w:val="20"/>
    </w:rPr>
  </w:style>
  <w:style w:type="paragraph" w:styleId="700">
    <w:name w:val="Заголовок таблицы"/>
    <w:basedOn w:val="694"/>
    <w:qFormat/>
    <w:pPr>
      <w:jc w:val="center"/>
      <w:suppressLineNumbers/>
    </w:pPr>
    <w:rPr>
      <w:b/>
      <w:bCs/>
    </w:rPr>
  </w:style>
  <w:style w:type="numbering" w:styleId="701">
    <w:name w:val="Нет списка"/>
    <w:semiHidden/>
    <w:qFormat/>
  </w:style>
  <w:style w:type="numbering" w:styleId="702" w:default="1">
    <w:name w:val="No List"/>
    <w:uiPriority w:val="99"/>
    <w:semiHidden/>
    <w:unhideWhenUsed/>
    <w:qFormat/>
  </w:style>
  <w:style w:type="table" w:styleId="703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6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7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d8d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33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34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a59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35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36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74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74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74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74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75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5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52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67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68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69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70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71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72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73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4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1cddc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9bf90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4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79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79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79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79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0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01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0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a4b71" w:themeColor="accent1" w:themeShade="95"/>
        <w:sz w:val="22"/>
      </w:rPr>
    </w:tblStylePr>
  </w:style>
  <w:style w:type="table" w:styleId="80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0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80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0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80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80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0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1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1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1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1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1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1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1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1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1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1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2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2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22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23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25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26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27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28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29">
    <w:name w:val="Обычная таблица"/>
    <w:semiHidden/>
    <w:tblPr/>
  </w:style>
  <w:style w:type="table" w:styleId="830">
    <w:name w:val="Сетка таблицы"/>
    <w:basedOn w:val="829"/>
    <w:uiPriority w:val="59"/>
    <w:rPr>
      <w:sz w:val="28"/>
      <w:szCs w:val="28"/>
      <w:lang w:eastAsia="en-US"/>
    </w:rPr>
    <w:tblPr/>
  </w:style>
  <w:style w:type="table" w:styleId="83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1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технического задания</dc:title>
  <dc:subject/>
  <dc:creator>Полыковский Юрий Исаакович</dc:creator>
  <dc:description/>
  <dc:language>ru-RU</dc:language>
  <cp:lastModifiedBy>lutfullina_ee</cp:lastModifiedBy>
  <cp:revision>167</cp:revision>
  <dcterms:created xsi:type="dcterms:W3CDTF">2016-07-05T09:51:00Z</dcterms:created>
  <dcterms:modified xsi:type="dcterms:W3CDTF">2026-06-01T01:09:27Z</dcterms:modified>
  <cp:version>983040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